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EF8FF">
      <w:pPr>
        <w:pStyle w:val="2"/>
        <w:keepNext w:val="0"/>
        <w:keepLines w:val="0"/>
        <w:widowControl/>
        <w:suppressLineNumbers w:val="0"/>
        <w:jc w:val="center"/>
      </w:pPr>
      <w:bookmarkStart w:id="0" w:name="_GoBack"/>
      <w:r>
        <w:t>《舞钢市 “十四五” 生态环境保护和生态经济发展规划》起草说明</w:t>
      </w:r>
    </w:p>
    <w:bookmarkEnd w:id="0"/>
    <w:p w14:paraId="483B03F0">
      <w:pPr>
        <w:pStyle w:val="3"/>
        <w:keepNext w:val="0"/>
        <w:keepLines w:val="0"/>
        <w:widowControl/>
        <w:numPr>
          <w:ilvl w:val="0"/>
          <w:numId w:val="1"/>
        </w:numPr>
        <w:suppressLineNumbers w:val="0"/>
        <w:ind w:firstLine="723" w:firstLineChars="200"/>
      </w:pPr>
      <w:r>
        <w:t>规划起草背景</w:t>
      </w:r>
    </w:p>
    <w:p w14:paraId="2D1EF08C">
      <w:pPr>
        <w:pStyle w:val="3"/>
        <w:keepNext w:val="0"/>
        <w:keepLines w:val="0"/>
        <w:widowControl/>
        <w:numPr>
          <w:numId w:val="0"/>
        </w:numPr>
        <w:suppressLineNumbers w:val="0"/>
        <w:ind w:firstLine="640" w:firstLineChars="200"/>
        <w:outlineLvl w:val="1"/>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bidi="ar"/>
        </w:rPr>
        <w:t>“十四五” 时期是我国全面建成小康社会、实现第一个百年奋斗目标之后，乘势而上开启全面建设社会主义现代化国家新征程、向第二个百年奋斗目标进军的第一个五年。舞钢市作为一座资源型城市，在过去的发展中，经济取得了显著成就，但生态环境也面临着诸多挑战。随着生态文明建设被摆在突出位置，舞钢市迫切需要制定一部科学合理的生态环境保护和生态经济发展规划，以实现经济发展与生态环境保护的良性互动，推动高质量发展。</w:t>
      </w:r>
    </w:p>
    <w:p w14:paraId="542AE71D">
      <w:pPr>
        <w:pStyle w:val="3"/>
        <w:keepNext w:val="0"/>
        <w:keepLines w:val="0"/>
        <w:widowControl/>
        <w:suppressLineNumbers w:val="0"/>
        <w:ind w:firstLine="723" w:firstLineChars="200"/>
      </w:pPr>
      <w:r>
        <w:t>二、规划起草过程</w:t>
      </w:r>
    </w:p>
    <w:p w14:paraId="3B94C63A">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组建团队</w:t>
      </w:r>
      <w:r>
        <w:rPr>
          <w:rFonts w:hint="eastAsia" w:ascii="仿宋" w:hAnsi="仿宋" w:eastAsia="仿宋" w:cs="仿宋"/>
          <w:sz w:val="32"/>
          <w:szCs w:val="32"/>
          <w:bdr w:val="none" w:color="auto" w:sz="0" w:space="0"/>
        </w:rPr>
        <w:t>：成立了由生态环境、经济发展、城市规划等多领域专家和相关部门业务骨干组成的规划起草小组，明确职责分工，为规划起草工作提供组织保障。</w:t>
      </w:r>
    </w:p>
    <w:p w14:paraId="6BF46641">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深入调研</w:t>
      </w:r>
      <w:r>
        <w:rPr>
          <w:rFonts w:hint="eastAsia" w:ascii="仿宋" w:hAnsi="仿宋" w:eastAsia="仿宋" w:cs="仿宋"/>
          <w:sz w:val="32"/>
          <w:szCs w:val="32"/>
          <w:bdr w:val="none" w:color="auto" w:sz="0" w:space="0"/>
        </w:rPr>
        <w:t>：起草小组通过实地考察、问卷调查、座谈会等形式，对舞钢市的生态环境现状、产业发展情况、资源禀赋等进行了全面深入的调研。同时，收集了国内其他类似城市在生态环境保护和生态经济发展方面的先进经验和成功案例，为规划编制提供参考。</w:t>
      </w:r>
    </w:p>
    <w:p w14:paraId="64BED630">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形成初稿</w:t>
      </w:r>
      <w:r>
        <w:rPr>
          <w:rFonts w:hint="eastAsia" w:ascii="仿宋" w:hAnsi="仿宋" w:eastAsia="仿宋" w:cs="仿宋"/>
          <w:sz w:val="32"/>
          <w:szCs w:val="32"/>
          <w:bdr w:val="none" w:color="auto" w:sz="0" w:space="0"/>
        </w:rPr>
        <w:t>：在充分调研和分析的基础上，起草小组依据国家和地方相关政策法规，结合舞钢市实际情况，起草了规划初稿。初稿形成后，多次组织内部讨论，对规划的框架、内容、目标等进行反复修改和完善。</w:t>
      </w:r>
    </w:p>
    <w:p w14:paraId="79E0F166">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征求意见</w:t>
      </w:r>
      <w:r>
        <w:rPr>
          <w:rFonts w:hint="eastAsia" w:ascii="仿宋" w:hAnsi="仿宋" w:eastAsia="仿宋" w:cs="仿宋"/>
          <w:sz w:val="32"/>
          <w:szCs w:val="32"/>
          <w:bdr w:val="none" w:color="auto" w:sz="0" w:space="0"/>
        </w:rPr>
        <w:t xml:space="preserve">：将规划初稿印发至各相关部门、乡镇（街道）以及社会各界广泛征求意见。通过召开征求意见会、网络公示等方式，共收集到意见和建议 </w:t>
      </w:r>
      <w:r>
        <w:rPr>
          <w:rFonts w:hint="eastAsia" w:ascii="仿宋" w:hAnsi="仿宋" w:eastAsia="仿宋" w:cs="仿宋"/>
          <w:sz w:val="32"/>
          <w:szCs w:val="32"/>
          <w:bdr w:val="none" w:color="auto" w:sz="0" w:space="0"/>
          <w:lang w:val="en-US" w:eastAsia="zh-CN"/>
        </w:rPr>
        <w:t>37</w:t>
      </w:r>
      <w:r>
        <w:rPr>
          <w:rFonts w:hint="eastAsia" w:ascii="仿宋" w:hAnsi="仿宋" w:eastAsia="仿宋" w:cs="仿宋"/>
          <w:sz w:val="32"/>
          <w:szCs w:val="32"/>
          <w:bdr w:val="none" w:color="auto" w:sz="0" w:space="0"/>
        </w:rPr>
        <w:t>条。起草小组对这些意见和建议进行了认真梳理和研究，对规划初稿进行了针对性修改，形成了规划征求意见稿。</w:t>
      </w:r>
    </w:p>
    <w:p w14:paraId="5083E1E1">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专家评审</w:t>
      </w:r>
      <w:r>
        <w:rPr>
          <w:rFonts w:hint="eastAsia" w:ascii="仿宋" w:hAnsi="仿宋" w:eastAsia="仿宋" w:cs="仿宋"/>
          <w:sz w:val="32"/>
          <w:szCs w:val="32"/>
          <w:bdr w:val="none" w:color="auto" w:sz="0" w:space="0"/>
        </w:rPr>
        <w:t>：邀请省内外生态环境、经济、规划等领域的知名专家对规划征求意见稿进行评审。专家们从专业角度对规划的科学性、合理性、可行性等方面进行了全面审查，提出了宝贵的意见和建议。起草小组根据专家评审意见，对规划进行了进一步修改和完善，形成了规划送审稿。</w:t>
      </w:r>
    </w:p>
    <w:p w14:paraId="50E235FF">
      <w:pPr>
        <w:pStyle w:val="3"/>
        <w:keepNext w:val="0"/>
        <w:keepLines w:val="0"/>
        <w:widowControl/>
        <w:suppressLineNumbers w:val="0"/>
        <w:ind w:firstLine="723" w:firstLineChars="200"/>
        <w:jc w:val="left"/>
      </w:pPr>
      <w:r>
        <w:t>三、规划主要内容</w:t>
      </w:r>
    </w:p>
    <w:p w14:paraId="6E77C7E8">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发展基础与面临形势</w:t>
      </w:r>
      <w:r>
        <w:rPr>
          <w:rFonts w:hint="eastAsia" w:ascii="仿宋" w:hAnsi="仿宋" w:eastAsia="仿宋" w:cs="仿宋"/>
          <w:sz w:val="32"/>
          <w:szCs w:val="32"/>
          <w:bdr w:val="none" w:color="auto" w:sz="0" w:space="0"/>
        </w:rPr>
        <w:t>：全面总结了 “十三五” 时期舞钢市生态环境保护和生态经济发展取得的成绩，深入分析了存在的问题和面临的机遇与挑战，为规划的编制提供了现实依据。</w:t>
      </w:r>
    </w:p>
    <w:p w14:paraId="5B0B1C5D">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总体要求</w:t>
      </w:r>
      <w:r>
        <w:rPr>
          <w:rFonts w:hint="eastAsia" w:ascii="仿宋" w:hAnsi="仿宋" w:eastAsia="仿宋" w:cs="仿宋"/>
          <w:sz w:val="32"/>
          <w:szCs w:val="32"/>
          <w:bdr w:val="none" w:color="auto" w:sz="0" w:space="0"/>
        </w:rPr>
        <w:t>：明确了规划的指导思想、基本原则和发展目标。以习近平生态文明思想为指导，坚持生态优先、绿色发展，提出了到 2025 年生态环境质量持续改善、生态经济体系初步建立等具体目标。</w:t>
      </w:r>
    </w:p>
    <w:p w14:paraId="158B7ADE">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主要任务</w:t>
      </w:r>
      <w:r>
        <w:rPr>
          <w:rFonts w:hint="eastAsia" w:ascii="仿宋" w:hAnsi="仿宋" w:eastAsia="仿宋" w:cs="仿宋"/>
          <w:sz w:val="32"/>
          <w:szCs w:val="32"/>
          <w:bdr w:val="none" w:color="auto" w:sz="0" w:space="0"/>
        </w:rPr>
        <w:t>：一是加强生态环境保护与修复，包括加强大气污染防治、水污染防治、土壤污染防治、生态系统保护与修复等方面；二是推动生态经济发展，优化产业结构，培育壮大生态产业，发展循环经济；三是强化环境监管与风险防控，完善环境监管体系，加强环境执法力度，提高环境风险防范能力；四是推进生态文明建设，加强生态文明宣传教育，完善生态文明制度体系。</w:t>
      </w:r>
    </w:p>
    <w:p w14:paraId="12E07F8F">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重点工程</w:t>
      </w:r>
      <w:r>
        <w:rPr>
          <w:rFonts w:hint="eastAsia" w:ascii="仿宋" w:hAnsi="仿宋" w:eastAsia="仿宋" w:cs="仿宋"/>
          <w:sz w:val="32"/>
          <w:szCs w:val="32"/>
          <w:bdr w:val="none" w:color="auto" w:sz="0" w:space="0"/>
        </w:rPr>
        <w:t>：围绕主要任务，谋划了一批生态环境保护和生态经济发展的重点工程，包括大气污染防治工程、水污染防治工程、生态修复工程、生态产业发展工程等，明确了工程的建设内容、投资估算和实施进度。</w:t>
      </w:r>
    </w:p>
    <w:p w14:paraId="5D4D1BE5">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保障措施</w:t>
      </w:r>
      <w:r>
        <w:rPr>
          <w:rFonts w:hint="eastAsia" w:ascii="仿宋" w:hAnsi="仿宋" w:eastAsia="仿宋" w:cs="仿宋"/>
          <w:sz w:val="32"/>
          <w:szCs w:val="32"/>
          <w:bdr w:val="none" w:color="auto" w:sz="0" w:space="0"/>
        </w:rPr>
        <w:t>：从加强组织领导、加大资金投入、强化科技支撑、严格监督考核等方面提出了保障规划实施的具体措施，确保规划目标的顺利实现。</w:t>
      </w:r>
    </w:p>
    <w:p w14:paraId="08D22B58">
      <w:pPr>
        <w:pStyle w:val="3"/>
        <w:keepNext w:val="0"/>
        <w:keepLines w:val="0"/>
        <w:widowControl/>
        <w:suppressLineNumbers w:val="0"/>
        <w:ind w:firstLine="723" w:firstLineChars="200"/>
      </w:pPr>
      <w:r>
        <w:t>四、规划特点</w:t>
      </w:r>
    </w:p>
    <w:p w14:paraId="770DD397">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坚持问题导向</w:t>
      </w:r>
      <w:r>
        <w:rPr>
          <w:rFonts w:hint="eastAsia" w:ascii="仿宋" w:hAnsi="仿宋" w:eastAsia="仿宋" w:cs="仿宋"/>
          <w:sz w:val="32"/>
          <w:szCs w:val="32"/>
          <w:bdr w:val="none" w:color="auto" w:sz="0" w:space="0"/>
        </w:rPr>
        <w:t>：紧密结合舞钢市生态环境保护和生态经济发展中存在的突出问题，有针对性地提出解决措施和发展路径。</w:t>
      </w:r>
    </w:p>
    <w:p w14:paraId="63A94EB0">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突出生态优先</w:t>
      </w:r>
      <w:r>
        <w:rPr>
          <w:rFonts w:hint="eastAsia" w:ascii="仿宋" w:hAnsi="仿宋" w:eastAsia="仿宋" w:cs="仿宋"/>
          <w:sz w:val="32"/>
          <w:szCs w:val="32"/>
          <w:bdr w:val="none" w:color="auto" w:sz="0" w:space="0"/>
        </w:rPr>
        <w:t>：将生态环境保护贯穿于经济社会发展全过程，把生态优势转化为经济优势，实现生态与经济的协同发展。</w:t>
      </w:r>
    </w:p>
    <w:p w14:paraId="39106AC0">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注重规划衔接</w:t>
      </w:r>
      <w:r>
        <w:rPr>
          <w:rFonts w:hint="eastAsia" w:ascii="仿宋" w:hAnsi="仿宋" w:eastAsia="仿宋" w:cs="仿宋"/>
          <w:sz w:val="32"/>
          <w:szCs w:val="32"/>
          <w:bdr w:val="none" w:color="auto" w:sz="0" w:space="0"/>
        </w:rPr>
        <w:t>：与国家、省、市相关规划相衔接，确保规划的科学性、前瞻性和可操作性。</w:t>
      </w:r>
    </w:p>
    <w:p w14:paraId="0E7B3FC3">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强化公众参与</w:t>
      </w:r>
      <w:r>
        <w:rPr>
          <w:rFonts w:hint="eastAsia" w:ascii="仿宋" w:hAnsi="仿宋" w:eastAsia="仿宋" w:cs="仿宋"/>
          <w:sz w:val="32"/>
          <w:szCs w:val="32"/>
          <w:bdr w:val="none" w:color="auto" w:sz="0" w:space="0"/>
        </w:rPr>
        <w:t>：在规划编制过程中广泛征求社会各界意见，充分体现了公众意愿，提高了规划的民主性。</w:t>
      </w:r>
    </w:p>
    <w:p w14:paraId="54DACBAF">
      <w:pPr>
        <w:pStyle w:val="3"/>
        <w:keepNext w:val="0"/>
        <w:keepLines w:val="0"/>
        <w:widowControl/>
        <w:suppressLineNumbers w:val="0"/>
        <w:ind w:firstLine="361" w:firstLineChars="100"/>
      </w:pPr>
      <w:r>
        <w:t>五、需要说明的几个问题</w:t>
      </w:r>
    </w:p>
    <w:p w14:paraId="78EAF225">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关于目标设定</w:t>
      </w:r>
      <w:r>
        <w:rPr>
          <w:rFonts w:hint="eastAsia" w:ascii="仿宋" w:hAnsi="仿宋" w:eastAsia="仿宋" w:cs="仿宋"/>
          <w:sz w:val="32"/>
          <w:szCs w:val="32"/>
          <w:bdr w:val="none" w:color="auto" w:sz="0" w:space="0"/>
        </w:rPr>
        <w:t>：规划目标的设定既充分考虑了舞钢市的现实基础和发展潜力，又与国家和省、市的总体要求相衔接，具有一定的挑战性和可实现性。</w:t>
      </w:r>
    </w:p>
    <w:p w14:paraId="12B58FB4">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rPr>
      </w:pPr>
      <w:r>
        <w:rPr>
          <w:rFonts w:hint="eastAsia" w:ascii="仿宋" w:hAnsi="仿宋" w:eastAsia="仿宋" w:cs="仿宋"/>
          <w:b/>
          <w:bCs/>
          <w:sz w:val="32"/>
          <w:szCs w:val="32"/>
          <w:bdr w:val="none" w:color="auto" w:sz="0" w:space="0"/>
        </w:rPr>
        <w:t>关于重点工程</w:t>
      </w:r>
      <w:r>
        <w:rPr>
          <w:rFonts w:hint="eastAsia" w:ascii="仿宋" w:hAnsi="仿宋" w:eastAsia="仿宋" w:cs="仿宋"/>
          <w:sz w:val="32"/>
          <w:szCs w:val="32"/>
          <w:bdr w:val="none" w:color="auto" w:sz="0" w:space="0"/>
        </w:rPr>
        <w:t>：规划中的重点工程是根据舞钢市生态环境保护和生态经济发展的实际需求确定的，在实施过程中，将根据实际情况进行动态调整和优化。</w:t>
      </w:r>
    </w:p>
    <w:p w14:paraId="1A3A617A">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3" w:firstLineChars="200"/>
        <w:rPr>
          <w:rFonts w:hint="eastAsia" w:ascii="仿宋" w:hAnsi="仿宋" w:eastAsia="仿宋" w:cs="仿宋"/>
          <w:sz w:val="32"/>
          <w:szCs w:val="32"/>
          <w:bdr w:val="none" w:color="auto" w:sz="0" w:space="0"/>
        </w:rPr>
      </w:pPr>
      <w:r>
        <w:rPr>
          <w:rFonts w:hint="eastAsia" w:ascii="仿宋" w:hAnsi="仿宋" w:eastAsia="仿宋" w:cs="仿宋"/>
          <w:b/>
          <w:bCs/>
          <w:sz w:val="32"/>
          <w:szCs w:val="32"/>
          <w:bdr w:val="none" w:color="auto" w:sz="0" w:space="0"/>
        </w:rPr>
        <w:t>关于保障措施</w:t>
      </w:r>
      <w:r>
        <w:rPr>
          <w:rFonts w:hint="eastAsia" w:ascii="仿宋" w:hAnsi="仿宋" w:eastAsia="仿宋" w:cs="仿宋"/>
          <w:sz w:val="32"/>
          <w:szCs w:val="32"/>
          <w:bdr w:val="none" w:color="auto" w:sz="0" w:space="0"/>
        </w:rPr>
        <w:t>：保障措施的制定旨在确保规划的顺利实施，各相关部门要切实履行职责，加强协调配合，形成工作合力。</w:t>
      </w:r>
    </w:p>
    <w:p w14:paraId="165A205C">
      <w:pPr>
        <w:keepNext w:val="0"/>
        <w:keepLines w:val="0"/>
        <w:widowControl/>
        <w:numPr>
          <w:numId w:val="0"/>
        </w:numPr>
        <w:suppressLineNumbers w:val="0"/>
        <w:pBdr>
          <w:left w:val="none" w:color="auto" w:sz="0" w:space="0"/>
        </w:pBdr>
        <w:spacing w:before="0" w:beforeAutospacing="0" w:after="0" w:afterAutospacing="0" w:line="24" w:lineRule="atLeast"/>
        <w:ind w:left="-360" w:leftChars="0"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《舞钢市 “十四五” 生态环境保护和生态经济发展规划》是指导舞钢市未来五年生态环境保护和生态经济发展的重要文件。通过科学编制和有效实施该规划，舞钢市将在生态环境保护和生态经济发展方面迈出坚实步伐，为建设美丽舞钢奠定坚实基础。</w:t>
      </w:r>
    </w:p>
    <w:p w14:paraId="6A4ADC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1F08C"/>
    <w:multiLevelType w:val="singleLevel"/>
    <w:tmpl w:val="4421F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F102B"/>
    <w:rsid w:val="688F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2025-01-14T06:41:00Z</dcterms:created>
  <dc:creator>luck</dc:creator>
  <cp:lastModifiedBy>luck</cp:lastModifiedBy>
  <dcterms:modified xsi:type="dcterms:W3CDTF">2025-01-14T06:46:56Z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2CCFC81AD96D48FC942FC2D4D2DCA4F8_11</vt:lpwstr>
  </property>
  <property fmtid="{D5CDD505-2E9C-101B-9397-08002B2CF9AE}" pid="4" name="KSOTemplateDocerSaveRecord">
    <vt:lpwstr>eyJoZGlkIjoiZGNiMjE3NTMwODgzNmFiYWJhNWRiZTE2OTAyZWRlM2QifQ==</vt:lpwstr>
  </property>
</Properties>
</file>