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eastAsiaTheme="minorEastAsia"/>
          <w:lang w:val="en-US" w:eastAsia="zh-CN"/>
        </w:rPr>
      </w:pPr>
      <w:bookmarkStart w:id="6" w:name="_GoBack"/>
      <w:bookmarkEnd w:id="6"/>
      <w:r>
        <w:rPr>
          <w:rFonts w:hint="eastAsia"/>
          <w:lang w:val="en-US" w:eastAsia="zh-CN"/>
        </w:rPr>
        <w:t>新安全生产法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ascii="Arial" w:hAnsi="Arial" w:cs="Arial"/>
          <w:i w:val="0"/>
          <w:iCs w:val="0"/>
          <w:caps w:val="0"/>
          <w:color w:val="333333"/>
          <w:spacing w:val="0"/>
          <w:sz w:val="21"/>
          <w:szCs w:val="21"/>
          <w:bdr w:val="none" w:color="auto" w:sz="0" w:space="0"/>
          <w:shd w:val="clear" w:fill="FFFFFF"/>
        </w:rPr>
        <w:t>《中华人民共和国安全生产法》是为了加强安全生产工作，防止和减少生产安全事故，保障人民群众生命和财产安全，促进经济社会持续健康发展，制定本法。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2021年6月10日，中华人民共和国第十三届全国人民代表大会常务委员会第二十九次会议于通过《全国人民代表大会常务委员会关于修改〈中华人民共和国安全生产法〉的决定》，现予公布，自2021年9月1日起施行。</w:t>
      </w:r>
      <w:bookmarkStart w:id="0" w:name="uni_baseinfo"/>
      <w:bookmarkEnd w:id="0"/>
      <w:bookmarkStart w:id="1" w:name="5354783-5590247-1"/>
      <w:bookmarkEnd w:id="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中华人民共和国主席令第十三号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《全国人民代表大会常务委员会关于修改〈中华人民共和国安全生产法〉的决定》已由中华人民共和国第十二届全国人民代表大会常务委员会第十次会议于2014年8月31日通过，现予公布，自2014年12月1日起施行。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中华人民共和国主席习近平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2014年8月31日</w:t>
      </w:r>
      <w:bookmarkStart w:id="2" w:name="5354783-5590247-2"/>
      <w:bookmarkEnd w:id="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中华人民共和国主席令第八十八号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全国人民代表大会常务委员会关于修改〈中华人民共和国安全生产法〉的决定》已由中华人民共和国第十三届全国人民代表大会常务委员会第二十九次会议于2021年6月10日通过，现予公布，自2021年9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中华人民共和国主席  </w:t>
      </w:r>
      <w:r>
        <w:rPr>
          <w:rStyle w:val="8"/>
          <w:rFonts w:hint="default" w:ascii="Arial" w:hAnsi="Arial" w:cs="Arial"/>
          <w:b/>
          <w:bCs/>
          <w:i w:val="0"/>
          <w:iCs w:val="0"/>
          <w:caps w:val="0"/>
          <w:color w:val="333333"/>
          <w:spacing w:val="0"/>
          <w:sz w:val="21"/>
          <w:szCs w:val="21"/>
          <w:bdr w:val="none" w:color="auto" w:sz="0" w:space="0"/>
          <w:shd w:val="clear" w:fill="FFFFFF"/>
        </w:rPr>
        <w:t>习近平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2021年6月10日</w:t>
      </w:r>
      <w:bookmarkStart w:id="3" w:name="5354783-5590247-3"/>
      <w:bookmarkEnd w:id="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法律简介</w:t>
      </w:r>
    </w:p>
    <w:p>
      <w:pPr>
        <w:pStyle w:val="4"/>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color w:val="333333"/>
        </w:rPr>
      </w:pPr>
      <w:bookmarkStart w:id="4" w:name="5354783-5590247-3_1"/>
      <w:bookmarkEnd w:id="4"/>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"https://baike.so.com/doc/5354783-5590247.html"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2002年6月29日第九届全国人民代表大会常务委员会第二十八次会议通过；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第一次修正，2009年8月27日第十一届全国人民代表大会常务委员会第十次会议《关于修改部分法律的决定》；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第二次修正，2014年8月31日第十二届全国人民代表大会常务委员会第十次会议《关于修改&lt;中华人民共和国安全生产法&gt;的决定》；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第三次修正，2021年6月10日第十三届全国人民代表大会常务委员会第二十九次会议《关于修改&lt;中华人民共和国安全生产法&gt;的决定》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第二章　生产经营单位的安全生产保障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第三章　从业人员的安全生产权利义务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第四章　安全生产的监督管理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第五章　生产安全事故的应急救援与调查处理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第一条　为了加强安全生产工作，防止和减少生产安全事故，保障人民群众生命和财产安全，促进经济社会持续健康发展，制定本法。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第三条　安全生产工作坚持中国共产党的领导。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第五条　生产经营单位的主要负责人是本单位安全生产第一责任人，对本单位的安全生产工作全面负责。其他负责人对职责范围内的安全生产工作负责。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第六条　生产经营单位的从业人员有依法获得安全生产保障的权利，并应当依法履行安全生产方面的义务。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第七条　工会依法对安全生产工作进行监督。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第八条　国务院和县级以上地方各级人民政府应当根据国民经济和社会发展规划制定安全生产规划，并组织实施。安全生产规划应当与国土空间规划等相关规划相衔接。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各级人民政府应当加强安全生产基础设施建设和安全生产监管能力建设，所需经费列入本级预算。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第十条　国务院应急管理部门依照本法，对全国安全生产工作实施综合监督管理；县级以上地方各级人民政府应急管理部门依照本法，对本行政区域内安全生产工作实施综合监督管理。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第十一条　国务院有关部门应当按照保障安全生产的要求，依法及时制定有关的国家标准或者行业标准，并根据科技进步和经济发展适时修订。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生产经营单位必须执行依法制定的保障安全生产的国家标准或者行业标准。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第十三条　各级人民政府及其有关部门应当采取多种形式，加强对有关安全生产的法律、法规和安全生产知识的宣传，增强全社会的安全生产意识。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第十四条　有关协会组织依照法律、行政法规和章程，为生产经营单位提供安全生产方面的信息、培训等服务，发挥自律作用，促进生产经营单位加强安全生产管理。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第十五条　依法设立的为安全生产提供技术、管理服务的机构，依照法律、行政法规和执业准则，接受生产经营单位的委托为其安全生产工作提供技术、管理服务。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生产经营单位委托前款规定的机构提供安全生产技术、管理服务的，保证安全生产的责任仍由本单位负责。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第十六条　国家实行生产安全事故责任追究制度，依照本法和有关法律、法规的规定，追究生产安全事故责任单位和责任人员的法律责任。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第十七条　县级以上各级人民政府应当组织负有安全生产监督管理职责的部门依法编制安全生产权力和责任清单，公开并接受社会监督。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第十八条　国家鼓励和支持安全生产科学技术研究和安全生产先进技术的推广应用，提高安全生产水平。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第十九条　国家对在改善安全生产条件、防止生产安全事故、参加抢险救护等方面取得显著成绩的单位和个人，给予奖励。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第二章　生产经营单位的安全生产保障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第二十条　生产经营单位应当具备本法和有关法律、行政法规和国家标准或者行业标准规定的安全生产条件；不具备安全生产条件的，不得从事生产经营活动。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第二十一条　生产经营单位的主要负责人对本单位安全生产工作负有下列职责: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（一）建立健全并落实本单位全员安全生产责任制，加强安全生产标准化建设；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（二）组织制定并实施本单位安全生产规章制度和操作规程；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（三）组织制定并实施本单位安全生产教育和培训计划；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（四）保证本单位安全生产投入的有效实施；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（五）组织建立并落实安全风险分级管控和隐患排查治理双重预防工作机制，督促、检查本单位的安全生产工作，及时消除生产安全事故隐患；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（六）组织制定并实施本单位的生产安全事故应急救援预案；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（七）及时、如实报告生产安全事故。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第二十二条　生产经营单位的全员安全生产责任制应当明确各岗位的责任人员、责任范围和考核标准等内容。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生产经营单位应当建立相应的机制，加强对全员安全生产责任制落实情况的监督考核，保证全员安全生产责任制的落实。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第二十四条　矿山、金属冶炼、建筑施工、运输单位和危险物品的生产、经营、储存、装卸单位，应当设置安全生产管理机构或者配备专职安全生产管理人员。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第二十五条　生产经营单位的安全生产管理机构以及安全生产管理人员履行下列职责: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（一）组织或者参与拟订本单位安全生产规章制度、操作规程和生产安全事故应急救援预案；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（二）组织或者参与本单位安全生产教育和培训，如实记录安全生产教育和培训情况；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（三）组织开展危险源辨识和评估，督促落实本单位重大危险源的安全管理措施；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（四）组织或者参与本单位应急救援演练；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（五）检查本单位的安全生产状况，及时排查生产安全事故隐患，提出改进安全生产管理的建议；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（六）制止和纠正违章指挥、强令冒险作业、违反操作规程的行为；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（七）督促落实本单位安全生产整改措施。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生产经营单位可以设置专职安全生产分管负责人，协助本单位主要负责人履行安全生产管理职责。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第二十六条　生产经营单位的安全生产管理机构以及安全生产管理人员应当恪尽职守，依法履行职责。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生产经营单位作出涉及安全生产的经营决策，应当听取安全生产管理机构以及安全生产管理人员的意见。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生产经营单位不得因安全生产管理人员依法履行职责而降低其工资、福利等待遇或者解除与其订立的劳动合同。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危险物品的生产、储存单位以及矿山、金属冶炼单位的安全生产管理人员的任免，应当告知主管的负有安全生产监督管理职责的部门。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第二十七条　生产经营单位的主要负责人和安全生产管理人员必须具备与本单位所从事的生产经营活动相应的安全生产知识和管理能力。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生产经营单位应当建立安全生产教育和培训档案，如实记录安全生产教育和培训的时间、内容、参加人员以及考核结果等情况。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第二十九条　生产经营单位采用新工艺、新技术、新材料或者使用新设备，必须了解、掌握其安全技术特性，采取有效的安全防护措施，并对从业人员进行专门的安全生产教育和培训。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第三十条　生产经营单位的特种作业人员必须按照国家有关规定经专门的安全作业培训，取得相应资格，方可上岗作业。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特种作业人员的范围由国务院应急管理部门会同国务院有关部门确定。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第三十一条　生产经营单位新建、改建、扩建工程项目（以下统称建设项目）的安全设施，必须与主体工程同时设计、同时施工、同时投入生产和使用。安全设施投资应当纳入建设项目概算。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第三十二条　矿山、金属冶炼建设项目和用于生产、储存、装卸危险物品的建设项目，应当按照国家有关规定进行安全评价。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第三十三条　建设项目安全设施的设计人、设计单位应当对安全设施设计负责。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第三十四条　矿山、金属冶炼建设项目和用于生产、储存、装卸危险物品的建设项目的施工单位必须按照批准的安全设施设计施工，并对安全设施的工程质量负责。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第三十五条　生产经营单位应当在有较大危险因素的生产经营场所和有关设施、设备上，设置明显的安全警示标志。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第三十六条　安全设备的设计、制造、安装、使用、检测、维修、改造和报废，应当符合国家标准或者行业标准。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生产经营单位必须对安全设备进行经常性维护、保养，并定期检测，保证正常运转。维护、保养、检测应当作好记录，并由有关人员签字。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生产经营单位不得关闭、破坏直接关系生产安全的监控、报警、防护、救生设备、设施，或者篡改、隐瞒、销毁其相关数据、信息。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餐饮等行业的生产经营单位使用燃气的，应当安装可燃气体报警装置，并保障其正常使用。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第三十八条　国家对严重危及生产安全的工艺、设备实行淘汰制度，具体目录由国务院应急管理部门会同国务院有关部门制定并公布。法律、行政法规对目录的制定另有规定的，适用其规定。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省、自治区、直辖市人民政府可以根据本地区实际情况制定并公布具体目录，对前款规定以外的危及生产安全的工艺、设备予以淘汰。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生产经营单位不得使用应当淘汰的危及生产安全的工艺、设备。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第三十九条　生产、经营、运输、储存、使用危险物品或者处置废弃危险物品的，由有关主管部门依照有关法律、法规的规定和国家标准或者行业标准审批并实施监督管理。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第四十条　生产经营单位对重大危险源应当登记建档，进行定期检测、评估、监控，并制定应急预案，告知从业人员和相关人员在紧急情况下应当采取的应急措施。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第四十一条　生产经营单位应当建立安全风险分级管控制度，按照安全风险分级采取相应的管控措施。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第四十二条　生产、经营、储存、使用危险物品的车间、商店、仓库不得与员工宿舍在同一座建筑物内，并应当与员工宿舍保持安全距离。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生产经营场所和员工宿舍应当设有符合紧急疏散要求、标志明显、保持畅通的出口、疏散通道。禁止占用、锁闭、封堵生产经营场所或者员工宿舍的出口、疏散通道。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生产经营单位应当关注从业人员的身体、心理状况和行为习惯，加强对从业人员的心理疏导、精神慰藉，严格落实岗位安全生产责任，防范从业人员行为异常导致事故发生。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第四十五条　生产经营单位必须为从业人员提供符合国家标准或者行业标准的劳动防护用品，并监督、教育从业人员按照使用规则佩戴、使用。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第四十七条　生产经营单位应当安排用于配备劳动防护用品、进行安全生产培训的经费。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第四十九条　生产经营单位不得将生产经营项目、场所、设备发包或者出租给不具备安全生产条件或者相应资质的单位或者个人。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第五十条　生产经营单位发生生产安全事故时，单位的主要负责人应当立即组织抢救，并不得在事故调查处理期间擅离职守。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第五十一条　生产经营单位必须依法参加工伤保险，为从业人员缴纳保险费。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第三章　从业人员的安全生产权利义务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第五十二条　生产经营单位与从业人员订立的劳动合同，应当载明有关保障从业人员劳动安全、防止职业危害的事项，以及依法为从业人员办理工伤保险的事项。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生产经营单位不得以任何形式与从业人员订立协议，免除或者减轻其对从业人员因生产安全事故伤亡依法应承担的责任。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第五十三条　生产经营单位的从业人员有权了解其作业场所和工作岗位存在的危险因素、防范措施及事故应急措施，有权对本单位的安全生产工作提出建议。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第五十四条　从业人员有权对本单位安全生产工作中存在的问题提出批评、检举、控告；有权拒绝违章指挥和强令冒险作业。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第五十五条　从业人员发现直接危及人身安全的紧急情况时，有权停止作业或者在采取可能的应急措施后撤离作业场所。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生产经营单位不得因从业人员在前款紧急情况下停止作业或者采取紧急撤离措施而降低其工资、福利等待遇或者解除与其订立的劳动合同。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第五十六条　生产经营单位发生生产安全事故后，应当及时采取措施救治有关人员。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因生产安全事故受到损害的从业人员，除依法享有工伤保险外，依照有关民事法律尚有获得赔偿的权利的，有权提出赔偿要求。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第五十七条　从业人员在作业过程中，应当严格落实岗位安全责任，遵守本单位的安全生产规章制度和操作规程，服从管理，正确佩戴和使用劳动防护用品。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第五十八条　从业人员应当接受安全生产教育和培训，掌握本职工作所需的安全生产知识，提高安全生产技能，增强事故预防和应急处理能力。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第五十九条　从业人员发现事故隐患或者其他不安全因素，应当立即向现场安全生产管理人员或者本单位负责人报告；接到报告的人员应当及时予以处理。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第六十条　工会有权对建设项目的安全设施与主体工程同时设计、同时施工、同时投入生产和使用进行监督，提出意见。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工会有权依法参加事故调查，向有关部门提出处理意见，并要求追究有关人员的责任。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第六十一条　生产经营单位使用被派遣劳动者的，被派遣劳动者享有本法规定的从业人员的权利，并应当履行本法规定的从业人员的义务。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第四章　安全生产的监督管理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第六十二条　县级以上地方各级人民政府应当根据本行政区域内的安全生产状况，组织有关部门按照职责分工，对本行政区域内容易发生重大生产安全事故的生产经营单位进行严格检查。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应急管理部门应当按照分类分级监督管理的要求，制定安全生产年度监督检查计划，并按照年度监督检查计划进行监督检查，发现事故隐患，应当及时处理。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（一）进入生产经营单位进行检查，调阅有关资料，向有关单位和人员了解情况；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（二）对检查中发现的安全生产违法行为，当场予以纠正或者要求限期改正；对依法应当给予行政处罚的行为，依照本法和其他有关法律、行政法规的规定作出行政处罚决定；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监督检查不得影响被检查单位的正常生产经营活动。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第六十六条　生产经营单位对负有安全生产监督管理职责的部门的监督检查人员（以下统称安全生产监督检查人员）依法履行监督检查职责，应当予以配合，不得拒绝、阻挠。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第六十七条　安全生产监督检查人员应当忠于职守，坚持原则，秉公执法。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安全生产监督检查人员执行监督检查任务时，必须出示有效的行政执法证件；对涉及被检查单位的技术秘密和业务秘密，应当为其保密。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第七十一条　监察机关依照监察法的规定，对负有安全生产监督管理职责的部门及其工作人员履行安全生产监督管理职责实施监察。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承担安全评价、认证、检测、检验职责的机构应当建立并实施服务公开和报告公开制度，不得租借资质、挂靠、出具虚假报告。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涉及人员死亡的举报事项，应当由县级以上人民政府组织核查处理。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第七十四条　任何单位或者个人对事故隐患或者安全生产违法行为，均有权向负有安全生产监督管理职责的部门报告或者举报。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第七十五条　居民委员会、村民委员会发现其所在区域内的生产经营单位存在事故隐患或者安全生产违法行为时，应当向当地人民政府或者有关部门报告。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第七十六条　县级以上各级人民政府及其有关部门对报告重大事故隐患或者举报安全生产违法行为的有功人员，给予奖励。具体奖励办法由国务院应急管理部门会同国务院财政部门制定。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第七十七条　新闻、出版、广播、电影、电视等单位有进行安全生产公益宣传教育的义务，有对违反安全生产法律、法规的行为进行舆论监督的权利。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第五章　生产安全事故的应急救援与调查处理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第八十条　县级以上地方各级人民政府应当组织有关部门制定本行政区域内生产安全事故应急救援预案，建立应急救援体系。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第八十一条　生产经营单位应当制定本单位生产安全事故应急救援预案，与所在地县级以上地方人民政府组织制定的生产安全事故应急救援预案相衔接，并定期组织演练。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危险物品的生产、经营、储存、运输单位以及矿山、金属冶炼、城市轨道交通运营、建筑施工单位应当配备必要的应急救援器材、设备和物资，并进行经常性维护、保养，保证正常运转。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第八十三条　生产经营单位发生生产安全事故后，事故现场有关人员应当立即报告本单位负责人。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第八十五条　有关地方人民政府和负有安全生产监督管理职责的部门的负责人接到生产安全事故报告后，应当按照生产安全事故应急救援预案的要求立即赶到事故现场，组织事故抢救。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事故抢救过程中应当采取必要措施，避免或者减少对环境造成的危害。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任何单位和个人都应当支持、配合事故抢救，并提供一切便利条件。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事故发生单位应当及时全面落实整改措施，负有安全生产监督管理职责的部门应当加强监督检查。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第八十八条　任何单位和个人不得阻挠和干涉对事故的依法调查处理。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第八十九条　县级以上地方各级人民政府应急管理部门应当定期统计分析本行政区域内发生生产安全事故的情况，并定期向社会公布。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第九十条　负有安全生产监督管理职责的部门的工作人员，有下列行为之一的，给予降级或者撤职的处分；构成犯罪的，依照刑法有关规定追究刑事责任: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（一）对不符合法定安全生产条件的涉及安全生产的事项予以批准或者验收通过的；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（二）发现未依法取得批准、验收的单位擅自从事有关活动或者接到举报后不予取缔或者不依法予以处理的；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（三）对已经依法取得批准的单位不履行监督管理职责，发现其不再具备安全生产条件而不撤销原批准或者发现安全生产违法行为不予查处的；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（四）在监督检查中发现重大事故隐患，不依法及时处理的。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负有安全生产监督管理职责的部门的工作人员有前款规定以外的滥用职权、玩忽职守、徇私舞弊行为的，依法给予处分；构成犯罪的，依照刑法有关规定追究刑事责任。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第九十二条　承担安全评价、认证、检测、检验职责的机构出具失实报告的，责令停业整顿，并处三万元以上十万元以下的罚款；给他人造成损害的，依法承担赔偿责任。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生产经营单位的主要负责人有前款违法行为，导致发生生产安全事故的，给予撤职处分；构成犯罪的，依照刑法有关规定追究刑事责任。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第九十五条　生产经营单位的主要负责人未履行本法规定的安全生产管理职责，导致发生生产安全事故的，由应急管理部门依照下列规定处以罚款: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（一）发生一般事故的，处上一年年收入百分之四十的罚款；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（二）发生较大事故的，处上一年年收入百分之六十的罚款；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（三）发生重大事故的，处上一年年收入百分之八十的罚款；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（四）发生特别重大事故的，处上一年年收入百分之一百的罚款。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（一）未按照规定设置安全生产管理机构或者配备安全生产管理人员、注册安全工程师的；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（二）危险物品的生产、经营、储存、装卸单位以及矿山、金属冶炼、建筑施工、运输单位的主要负责人和安全生产管理人员未按照规定经考核合格的；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（三）未按照规定对从业人员、被派遣劳动者、实习学生进行安全生产教育和培训，或者未按照规定如实告知有关的安全生产事项的；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（四）未如实记录安全生产教育和培训情况的；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（五）未将事故隐患排查治理情况如实记录或者未向从业人员通报的；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（六）未按照规定制定生产安全事故应急救援预案或者未定期组织演练的；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（七）特种作业人员未按照规定经专门的安全作业培训并取得相应资格，上岗作业的。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（一）未按照规定对矿山、金属冶炼建设项目或者用于生产、储存、装卸危险物品的建设项目进行安全评价的；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（二）矿山、金属冶炼建设项目或者用于生产、储存、装卸危险物品的建设项目没有安全设施设计或者安全设施设计未按照规定报经有关部门审查同意的；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（三）矿山、金属冶炼建设项目或者用于生产、储存、装卸危险物品的建设项目的施工单位未按照批准的安全设施设计施工的；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（四）矿山、金属冶炼建设项目或者用于生产、储存、装卸危险物品的建设项目竣工投入生产或者使用前，安全设施未经验收合格的。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（一）未在有较大危险因素的生产经营场所和有关设施、设备上设置明显的安全警示标志的；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（二）安全设备的安装、使用、检测、改造和报废不符合国家标准或者行业标准的；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（三）未对安全设备进行经常性维护、保养和定期检测的；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（四）关闭、破坏直接关系生产安全的监控、报警、防护、救生设备、设施，或者篡改、隐瞒、销毁其相关数据、信息的；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（五）未为从业人员提供符合国家标准或者行业标准的劳动防护用品的；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（七）使用应当淘汰的危及生产安全的工艺、设备的；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（八）餐饮等行业的生产经营单位使用燃气未安装可燃气体报警装置的。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（一）生产、经营、运输、储存、使用危险物品或者处置废弃危险物品，未建立专门安全管理制度、未采取可靠的安全措施的；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（二）对重大危险源未登记建档，未进行定期检测、评估、监控，未制定应急预案，或者未告知应急措施的；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（三）进行爆破、吊装、动火、临时用电以及国务院应急管理部门会同国务院有关部门规定的其他危险作业，未安排专门人员进行现场安全管理的；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（四）未建立安全风险分级管控制度或者未按照安全风险分级采取相应管控措施的；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（五）未建立事故隐患排查治理制度，或者重大事故隐患排查治理情况未按照规定报告的。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（一）生产、经营、储存、使用危险物品的车间、商店、仓库与员工宿舍在同一座建筑内，或者与员工宿舍的距离不符合安全要求的；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（二）生产经营场所和员工宿舍未设有符合紧急疏散需要、标志明显、保持畅通的出口、疏散通道，或者占用、锁闭、封堵生产经营场所或者员工宿舍出口、疏散通道的。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第一百零九条　高危行业、领域的生产经营单位未按照国家规定投保安全生产责任保险的，责令限期改正，处五万元以上十万元以下的罚款；逾期未改正的，处十万元以上二十万元以下的罚款。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生产经营单位的主要负责人对生产安全事故隐瞒不报、谎报或者迟报的，依照前款规定处罚。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第一百一十二条　生产经营单位违反本法规定，被责令改正且受到罚款处罚，拒不改正的，负有安全生产监督管理职责的部门可以自作出责令改正之日的次日起，按照原处罚数额按日连续处罚。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（一）存在重大事故隐患，一百八十日内三次或者一年内四次受到本法规定的行政处罚的；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（二）经停产停业整顿，仍不具备法律、行政法规和国家标准或者行业标准规定的安全生产条件的；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（三）不具备法律、行政法规和国家标准或者行业标准规定的安全生产条件，导致发生重大、特别重大生产安全事故的；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（四）拒不执行负有安全生产监督管理职责的部门作出的停产停业整顿决定的。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第一百一十四条　发生生产安全事故，对负有责任的生产经营单位除要求其依法承担相应的赔偿等责任外，由应急管理部门依照下列规定处以罚款: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（一）发生一般事故的，处三十万元以上一百万元以下的罚款；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（二）发生较大事故的，处一百万元以上二百万元以下的罚款；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（三）发生重大事故的，处二百万元以上一千万元以下的罚款；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（四）发生特别重大事故的，处一千万元以上二千万元以下的罚款。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发生生产安全事故，情节特别严重、影响特别恶劣的，应急管理部门可以按照前款罚款数额的二倍以上五倍以下对负有责任的生产经营单位处以罚款。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第一百一十六条　生产经营单位发生生产安全事故造成人员伤亡、他人财产损失的，应当依法承担赔偿责任；拒不承担或者其负责人逃匿的，由人民法院依法强制执行。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第七章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第一百一十七条　本法下列用语的含义: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危险物品，是指易燃易爆物品、危险化学品、放射性物品等能够危及人身安全和财产安全的物品。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重大危险源，是指长期地或者临时地生产、搬运、使用或者储存危险物品，且危险物品的数量等于或者超过临界量的单元（包括场所和设施）。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第一百一十八条　本法规定的生产安全一般事故、较大事故、重大事故、特别重大事故的划分标准由国务院规定。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国务院应急管理部门和其他负有安全生产监督管理职责的部门应当根据各自的职责分工，制定相关行业、领域重大危险源的辨识标准和重大事故隐患的判定标准。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第一百一十九条　本法自2002年11月1日起施行。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Arial" w:hAnsi="Arial" w:cs="Arial"/>
          <w:i w:val="0"/>
          <w:iCs w:val="0"/>
          <w:caps w:val="0"/>
          <w:color w:val="333333"/>
          <w:spacing w:val="0"/>
          <w:sz w:val="21"/>
          <w:szCs w:val="21"/>
        </w:rPr>
      </w:pPr>
    </w:p>
    <w:p>
      <w:pPr>
        <w:pStyle w:val="3"/>
        <w:keepNext w:val="0"/>
        <w:keepLines w:val="0"/>
        <w:widowControl/>
        <w:suppressLineNumbers w:val="0"/>
        <w:pBdr>
          <w:top w:val="none" w:color="auto" w:sz="0" w:space="0"/>
          <w:left w:val="single" w:color="37AB2F" w:sz="48" w:space="0"/>
          <w:bottom w:val="none" w:color="auto" w:sz="0" w:space="0"/>
          <w:right w:val="none" w:color="auto" w:sz="0" w:space="0"/>
        </w:pBdr>
        <w:spacing w:before="526" w:beforeAutospacing="0" w:after="452" w:afterAutospacing="0" w:line="330" w:lineRule="atLeast"/>
        <w:ind w:left="-450" w:right="0" w:firstLine="300"/>
        <w:rPr>
          <w:rFonts w:hint="eastAsia" w:ascii="微软雅黑" w:hAnsi="微软雅黑" w:eastAsia="微软雅黑" w:cs="微软雅黑"/>
          <w:sz w:val="33"/>
          <w:szCs w:val="33"/>
        </w:rPr>
      </w:pPr>
      <w:bookmarkStart w:id="5" w:name="5354783-5590247-4"/>
      <w:bookmarkEnd w:id="5"/>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begin"/>
      </w:r>
      <w:r>
        <w:rPr>
          <w:rFonts w:hint="eastAsia" w:ascii="微软雅黑" w:hAnsi="微软雅黑" w:eastAsia="微软雅黑" w:cs="微软雅黑"/>
          <w:i w:val="0"/>
          <w:iCs w:val="0"/>
          <w:caps w:val="0"/>
          <w:spacing w:val="0"/>
          <w:sz w:val="0"/>
          <w:szCs w:val="0"/>
          <w:u w:val="none"/>
          <w:bdr w:val="single" w:color="37AB2F" w:sz="48" w:space="0"/>
          <w:shd w:val="clear" w:fill="FFFFFF"/>
        </w:rPr>
        <w:instrText xml:space="preserve"> HYPERLINK "https://baike.so.com/doc/5354783-5590247.html" </w:instrTex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end"/>
      </w:r>
      <w:r>
        <w:rPr>
          <w:rFonts w:hint="eastAsia" w:ascii="宋体" w:hAnsi="宋体" w:eastAsia="宋体" w:cs="宋体"/>
          <w:i w:val="0"/>
          <w:iCs w:val="0"/>
          <w:caps w:val="0"/>
          <w:color w:val="319818"/>
          <w:spacing w:val="0"/>
          <w:sz w:val="18"/>
          <w:szCs w:val="18"/>
          <w:u w:val="none"/>
          <w:shd w:val="clear" w:fill="FFFFFF"/>
        </w:rPr>
        <w:fldChar w:fldCharType="begin"/>
      </w:r>
      <w:r>
        <w:rPr>
          <w:rFonts w:hint="eastAsia" w:ascii="宋体" w:hAnsi="宋体" w:eastAsia="宋体" w:cs="宋体"/>
          <w:i w:val="0"/>
          <w:iCs w:val="0"/>
          <w:caps w:val="0"/>
          <w:color w:val="319818"/>
          <w:spacing w:val="0"/>
          <w:sz w:val="18"/>
          <w:szCs w:val="18"/>
          <w:u w:val="none"/>
          <w:shd w:val="clear" w:fill="FFFFFF"/>
        </w:rPr>
        <w:instrText xml:space="preserve"> HYPERLINK "https://baike.so.com/create/edit/?eid=5354783&amp;sid=5590247&amp;secid=4" </w:instrText>
      </w:r>
      <w:r>
        <w:rPr>
          <w:rFonts w:hint="eastAsia" w:ascii="宋体" w:hAnsi="宋体" w:eastAsia="宋体" w:cs="宋体"/>
          <w:i w:val="0"/>
          <w:iCs w:val="0"/>
          <w:caps w:val="0"/>
          <w:color w:val="319818"/>
          <w:spacing w:val="0"/>
          <w:sz w:val="18"/>
          <w:szCs w:val="18"/>
          <w:u w:val="none"/>
          <w:shd w:val="clear" w:fill="FFFFFF"/>
        </w:rPr>
        <w:fldChar w:fldCharType="separate"/>
      </w:r>
      <w:r>
        <w:rPr>
          <w:rStyle w:val="10"/>
          <w:rFonts w:hint="eastAsia" w:ascii="宋体" w:hAnsi="宋体" w:eastAsia="宋体" w:cs="宋体"/>
          <w:i w:val="0"/>
          <w:iCs w:val="0"/>
          <w:caps w:val="0"/>
          <w:color w:val="319818"/>
          <w:spacing w:val="0"/>
          <w:sz w:val="18"/>
          <w:szCs w:val="18"/>
          <w:u w:val="none"/>
          <w:shd w:val="clear" w:fill="FFFFFF"/>
        </w:rPr>
        <w:t>编辑本段</w:t>
      </w:r>
      <w:r>
        <w:rPr>
          <w:rFonts w:hint="eastAsia" w:ascii="宋体" w:hAnsi="宋体" w:eastAsia="宋体" w:cs="宋体"/>
          <w:i w:val="0"/>
          <w:iCs w:val="0"/>
          <w:caps w:val="0"/>
          <w:color w:val="319818"/>
          <w:spacing w:val="0"/>
          <w:sz w:val="18"/>
          <w:szCs w:val="18"/>
          <w:u w:val="none"/>
          <w:shd w:val="clear" w:fill="FFFFFF"/>
        </w:rPr>
        <w:fldChar w:fldCharType="end"/>
      </w:r>
      <w:r>
        <w:rPr>
          <w:rFonts w:hint="eastAsia" w:ascii="微软雅黑" w:hAnsi="微软雅黑" w:eastAsia="微软雅黑" w:cs="微软雅黑"/>
          <w:i w:val="0"/>
          <w:iCs w:val="0"/>
          <w:caps w:val="0"/>
          <w:color w:val="000000"/>
          <w:spacing w:val="0"/>
          <w:sz w:val="33"/>
          <w:szCs w:val="33"/>
          <w:bdr w:val="none" w:color="auto" w:sz="0" w:space="0"/>
          <w:shd w:val="clear" w:fill="FFFFFF"/>
        </w:rPr>
        <w:t>新《安全生产法》的10大重点内容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1.以人为本，坚持安全发展。新法明确提出安全生产工作应当   以人为本，将坚持安全发展写入了总则，对于坚守红线意识、进一步加强安全生产工作、实现安全生产形势根本性好转的奋斗目标具有重要意义。(第三条)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2.建立完善安全生产方针和工作机制。将安全生产工作方针完善为"安全第一、预防为主、综合治理"，进一步明确了安全生产的重要地位、主体任务和实现安全生产的根本途径。新法提出要建立生产经营单位负责、职工参与、政府监管、行业自律、社会监督的工作机制，进一步明确了各方安全职责。(第三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3.落实"三个必须"，确立安全生产监管执法部门地位。按照安全生产管行业必须管安全、管业务必须管安全、管生产经营必须管安全的要求，新法一是规定国务院和县级以上地方人民政府应当建立健全安全生产工作协调机制，及时协调、解决安全生产监督管理中的重大问题。二是明确各级政府安全生产监督管理部门实施综合监督管理，有关部门在各自职责范围内对有关"行业、领域"的安全生产工作实施监督管理。三是明确各级安全生产监督管理部门和其他负有安全生产监督管理职责的部门作为行政执法部门，依法开展安全生产行政执法工作，对生产经营单位执行法律、法规、国家标准或者行业标准的情况进行监督检查。(第八条、第九条、第六十二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4.强化乡镇人民政府以及街道办事处、开发区管理机构安全生产职责。乡镇街道是安全生产工作的重要基础，有必要在立法层面明确其安全生产职责，同时针对各地经济技术开发区、工业园区的安全监管体制不顺、监管人员配备不足、事故隐患集中、事故多发等突出问题，新法明确乡镇人民政府以及街道办事处、开发区管理机构等地方人民政府的派出机关应当按照职责，加强对本行政区域内生产经营单位安全生产状况的监督检查，协助上级人民政府有关部门依法履行安全生产监督管理职责。(第八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5.明确生产经营单位安全生产管理机构、人员的设置、配备标准和工作职责。新法一是明确矿山、金属冶炼、建筑施工、道路运输单位和危险物品的生产、经营、储存单位，应当设置安全生产管理机构或者配备专职安全生产管理人员，将其他生产经营单位设置专门机构或者配备专职人员的从业人员下限由300人调整为100人。二是规定了安全生产管理机构以及管理人员的7项职责，主要包括拟定本单位安全生产规章制度、操作规程、应急救援预案，组织宣传贯彻安全生产法律、法规;组织安全生产教育和培训，制止和纠正违章指挥、强令冒险作业、违反操作规程的行为，督促落实本单位安全生产整改措施等。三是明确生产经营单位作出涉及安全生产的经营决策，应当听取安全生产管理机构以及安全生产管理人员的意见。(第二十一条至第二十三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6.明确了劳务派遣单位和用工单位的职责和劳动者的权利义务。一是规定生产经营单位应当将被派遣劳动者纳入本单位从业人员统一管理，对被派遣劳动者进行岗位安全操作规程和安全操作技能的教育和培训。劳务派遣单位应当对被派遣劳动者进行必要的安全生产教育和培训。二是明确被派遣劳动者享有本法规定的从业人员的权利，并应当履行本法规定的从业人员的义务。(第二十五条、第五十八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7.建立事故隐患排查治理制度。新法把加强事前预防、强化隐患排查治理作为一项重要内容:一是生产经营单位必须建立事故隐患排查治理制度，采取技术、管理措施消除事故隐患。二是政府有关部门要建立健全重大事故隐患治理督办制度，督促生产经营单位消除重大事故隐患。三是对未建立隐患排查治理制度、未采取有效措施消除事故隐患的行为，设定了严格的行政处罚。(第三十八条、第九十八条、第九十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8.推进安全生产标准化建设。结合多年来的实践经验，新法在总则部分明确生产经营单位应当推进安全生产标准化工作，提高本质安全生产水平。(第四条)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9.推行注册安全工程师制度。新法确立了注册安全工程师制度，并从两个方面加以推进:一是危险物品的生产、储存单位以及矿山、金属冶炼单位应当有注册安全工程师从事安全生产管理工作，鼓励其他单位聘用注册安全工程师。二是建立注册安全工程师按专业分类管理制度，授权国务院人力资源和社会保障部门、安全生产监督管理等部门制定具体实施办法。(第二十四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10.推进安全生产责任保险。根据2006年以来在河南省、湖北省、山西省、北京市、重庆市等省(市)的试点经验，重点是为了增加事故应急救援和事故单位从业人员以外的事故受害人的赔偿补偿资金来源，新法规定:国家鼓励生产经营单位投保安全生产责任保险。(第四十八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4A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2021-11-25T03:44:04Z</dcterms:created>
  <dc:creator>LENOVO</dc:creator>
  <cp:lastModifiedBy>明明就这样</cp:lastModifiedBy>
  <dcterms:modified xsi:type="dcterms:W3CDTF">2021-11-25T03:45:43Z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255FBDF5EB6D4A3397A6DF6B9C1304EE</vt:lpwstr>
  </property>
</Properties>
</file>