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踔厉奋发谋发展秣马厉兵开新局</w:t>
      </w:r>
      <w:bookmarkEnd w:id="0"/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w:t>　</w:t>
      </w:r>
      <w:r>
        <w:rPr>
          <w:rFonts w:hint="eastAsia" w:ascii="仿宋" w:hAnsi="仿宋" w:eastAsia="仿宋" w:cs="仿宋"/>
          <w:sz w:val="32"/>
          <w:szCs w:val="32"/>
        </w:rPr>
        <w:t>　人勤春来早,奋进正当时。新年新气象,整装再出发。为深入践行“十六字”治水方针，坚持“水利工程补短板、水利行业强监管”总基调，以重点水利项目建设为牵引，统筹做好水旱灾害防御、河湖运行管理、农村安全饮水、河湖长制及水资源监管等工作。2月1日下午，水利局党组书记、局长崔盘营带领全体班子成员开展节后工程实地走访活动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水利局全体班子一行先后对朱兰水库除险加固工程、柳叶河、泥河河道治理工程、小石漫滩水库雨水情监测项目、庙街乡人头山村玲珑山白茶水土保持治理项目、杨庄乡雷庄村安全饮水工程等各类水利工程进行实地走访查看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每到一处，崔盘营都认真听取分管负责同志对工程进度、发挥效益、存在问题等方面的详细介绍。并对下步工作提出相关意见。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崔盘营强调：一要压实责任，推动工作做细做实。要切实压实监管责任，项目法人、设计、监理、施工等参建各方主体责任，确保工程质量和安全；二要加强统筹协调，推动项目建设。做好沟通协调，解决工程推进中存在的问题和困难；三要严把水利工程监督关口，确保水利工程建成一处、水利惠民受益一方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推动新阶段舞钢水利高质量发展使命如磐、重任在肩。2023年，水利局领导班子将以习近平新时代中国特色社会主义思想为指引，在市委市政府的坚强领导下，认真贯彻落实党的二十大精神，务实重干、勇毅前行，奋力开创舞钢水利改革发展新局面！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NGZkYTQwMjUxM2JlYWZkNmZkOWIwNTNmNmFlNzkifQ=="/>
  </w:docVars>
  <w:rsids>
    <w:rsidRoot w:val="733007B5"/>
    <w:rsid w:val="7330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2023-02-15T07:39:00Z</dcterms:created>
  <dc:creator>Administrator</dc:creator>
  <cp:lastModifiedBy>Administrator</cp:lastModifiedBy>
  <dcterms:modified xsi:type="dcterms:W3CDTF">2023-02-15T07:41:03Z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E479523B28FF4C33960E257319029943</vt:lpwstr>
  </property>
</Properties>
</file>