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i w:val="0"/>
          <w:caps w:val="0"/>
          <w:color w:val="auto"/>
          <w:spacing w:val="8"/>
          <w:sz w:val="32"/>
          <w:szCs w:val="32"/>
          <w:shd w:val="clear" w:fill="FFFFFF"/>
          <w:lang w:val="en-US" w:eastAsia="zh-CN"/>
        </w:rPr>
      </w:pPr>
      <w:r>
        <w:rPr>
          <w:rFonts w:hint="eastAsia" w:ascii="黑体" w:hAnsi="黑体" w:eastAsia="黑体" w:cs="黑体"/>
          <w:b w:val="0"/>
          <w:bCs w:val="0"/>
          <w:i w:val="0"/>
          <w:caps w:val="0"/>
          <w:color w:val="auto"/>
          <w:spacing w:val="8"/>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i w:val="0"/>
          <w:caps w:val="0"/>
          <w:color w:val="auto"/>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b/>
          <w:bCs/>
          <w:i w:val="0"/>
          <w:caps w:val="0"/>
          <w:color w:val="auto"/>
          <w:spacing w:val="8"/>
          <w:sz w:val="44"/>
          <w:szCs w:val="44"/>
          <w:shd w:val="clear" w:fill="FFFFFF"/>
          <w:lang w:eastAsia="zh-CN"/>
        </w:rPr>
      </w:pPr>
      <w:r>
        <w:rPr>
          <w:rFonts w:hint="eastAsia" w:asciiTheme="majorEastAsia" w:hAnsiTheme="majorEastAsia" w:eastAsiaTheme="majorEastAsia" w:cstheme="majorEastAsia"/>
          <w:b/>
          <w:bCs/>
          <w:i w:val="0"/>
          <w:caps w:val="0"/>
          <w:color w:val="auto"/>
          <w:spacing w:val="8"/>
          <w:sz w:val="44"/>
          <w:szCs w:val="44"/>
          <w:shd w:val="clear" w:fill="FFFFFF"/>
          <w:lang w:eastAsia="zh-CN"/>
        </w:rPr>
        <w:t>《</w:t>
      </w:r>
      <w:r>
        <w:rPr>
          <w:rFonts w:hint="eastAsia" w:asciiTheme="majorEastAsia" w:hAnsiTheme="majorEastAsia" w:eastAsiaTheme="majorEastAsia" w:cstheme="majorEastAsia"/>
          <w:b/>
          <w:bCs/>
          <w:i w:val="0"/>
          <w:caps w:val="0"/>
          <w:color w:val="auto"/>
          <w:spacing w:val="8"/>
          <w:sz w:val="44"/>
          <w:szCs w:val="44"/>
          <w:shd w:val="clear" w:fill="FFFFFF"/>
        </w:rPr>
        <w:t>平顶山市建设工地扬尘污染防治条例</w:t>
      </w:r>
      <w:r>
        <w:rPr>
          <w:rFonts w:hint="eastAsia" w:asciiTheme="majorEastAsia" w:hAnsiTheme="majorEastAsia" w:eastAsiaTheme="majorEastAsia" w:cstheme="majorEastAsia"/>
          <w:b/>
          <w:bCs/>
          <w:i w:val="0"/>
          <w:caps w:val="0"/>
          <w:color w:val="auto"/>
          <w:spacing w:val="8"/>
          <w:sz w:val="44"/>
          <w:szCs w:val="4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i w:val="0"/>
          <w:caps w:val="0"/>
          <w:color w:val="auto"/>
          <w:spacing w:val="8"/>
          <w:sz w:val="44"/>
          <w:szCs w:val="44"/>
          <w:shd w:val="clear" w:fill="FFFFFF"/>
          <w:lang w:val="en-US" w:eastAsia="zh-CN"/>
        </w:rPr>
      </w:pPr>
      <w:r>
        <w:rPr>
          <w:rFonts w:hint="eastAsia" w:asciiTheme="majorEastAsia" w:hAnsiTheme="majorEastAsia" w:eastAsiaTheme="majorEastAsia" w:cstheme="majorEastAsia"/>
          <w:b/>
          <w:bCs/>
          <w:i w:val="0"/>
          <w:caps w:val="0"/>
          <w:color w:val="auto"/>
          <w:spacing w:val="8"/>
          <w:sz w:val="44"/>
          <w:szCs w:val="44"/>
          <w:shd w:val="clear" w:fill="FFFFFF"/>
          <w:lang w:val="en-US" w:eastAsia="zh-CN"/>
        </w:rPr>
        <w:t>行政处罚裁量标准（试行）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auto"/>
          <w:spacing w:val="0"/>
          <w:kern w:val="0"/>
          <w:sz w:val="32"/>
          <w:szCs w:val="32"/>
          <w:u w:val="none"/>
          <w:shd w:val="clear"/>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pacing w:val="0"/>
          <w:kern w:val="0"/>
          <w:sz w:val="32"/>
          <w:szCs w:val="32"/>
          <w:u w:val="none"/>
          <w:shd w:val="clear"/>
          <w:vertAlign w:val="baseline"/>
          <w:lang w:val="en-US" w:eastAsia="zh-CN" w:bidi="ar-SA"/>
        </w:rPr>
      </w:pPr>
      <w:r>
        <w:rPr>
          <w:rFonts w:hint="eastAsia" w:ascii="黑体" w:hAnsi="黑体" w:eastAsia="黑体" w:cs="黑体"/>
          <w:b w:val="0"/>
          <w:bCs w:val="0"/>
          <w:color w:val="auto"/>
          <w:spacing w:val="0"/>
          <w:kern w:val="0"/>
          <w:sz w:val="32"/>
          <w:szCs w:val="32"/>
          <w:u w:val="none"/>
          <w:shd w:val="clear"/>
          <w:vertAlign w:val="baseline"/>
          <w:lang w:val="en-US" w:eastAsia="zh-CN" w:bidi="ar-SA"/>
        </w:rPr>
        <w:t>一、《平顶山市建设工地扬尘污染防治条例》第二十一条的行政处罚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黑体" w:hAnsi="黑体" w:eastAsia="黑体" w:cs="黑体"/>
          <w:b w:val="0"/>
          <w:bCs w:val="0"/>
          <w:color w:val="auto"/>
          <w:spacing w:val="0"/>
          <w:kern w:val="0"/>
          <w:sz w:val="32"/>
          <w:szCs w:val="32"/>
          <w:u w:val="none"/>
          <w:shd w:val="clear"/>
          <w:vertAlign w:val="baseline"/>
          <w:lang w:val="en-US" w:eastAsia="zh-CN" w:bidi="ar-SA"/>
        </w:rPr>
        <w:t>处罚依据：</w:t>
      </w:r>
      <w:r>
        <w:rPr>
          <w:rFonts w:hint="eastAsia" w:ascii="仿宋" w:hAnsi="仿宋" w:eastAsia="仿宋" w:cs="仿宋"/>
          <w:b w:val="0"/>
          <w:bCs w:val="0"/>
          <w:color w:val="auto"/>
          <w:spacing w:val="0"/>
          <w:kern w:val="0"/>
          <w:sz w:val="32"/>
          <w:szCs w:val="32"/>
          <w:u w:val="none"/>
          <w:shd w:val="clear"/>
          <w:vertAlign w:val="baseline"/>
          <w:lang w:val="en-US" w:eastAsia="zh-CN" w:bidi="ar-SA"/>
        </w:rPr>
        <w:t>《平顶山市建设工地扬尘污染防治条例》第二十一条“违反本条例第十二条、第十三条、第十四条、第十五条、第十六条、第十七条规定，由住房城乡建设、城市管理、交通运输、水利等负有扬尘污染防治监督管理职责的部门责令改正，处以二万元以上十万元以下罚款；拒不改正的，责令停工整治，依法作出处罚决定的部门可以自责令改正之日的次日起，按照原处罚数额按日连续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pacing w:val="0"/>
          <w:kern w:val="0"/>
          <w:sz w:val="32"/>
          <w:szCs w:val="32"/>
          <w:u w:val="none"/>
          <w:shd w:val="clear"/>
          <w:vertAlign w:val="baseline"/>
          <w:lang w:val="en-US" w:eastAsia="zh-CN" w:bidi="ar-SA"/>
        </w:rPr>
      </w:pPr>
      <w:r>
        <w:rPr>
          <w:rFonts w:hint="eastAsia" w:ascii="黑体" w:hAnsi="黑体" w:eastAsia="黑体" w:cs="黑体"/>
          <w:b w:val="0"/>
          <w:bCs w:val="0"/>
          <w:color w:val="auto"/>
          <w:spacing w:val="0"/>
          <w:kern w:val="0"/>
          <w:sz w:val="32"/>
          <w:szCs w:val="32"/>
          <w:u w:val="none"/>
          <w:shd w:val="clear"/>
          <w:vertAlign w:val="baseline"/>
          <w:lang w:val="en-US" w:eastAsia="zh-CN" w:bidi="ar-SA"/>
        </w:rPr>
        <w:t>违法行为情形和处罚标准：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1.轻微违法行为的表现情形：未按照规定采取扬尘防治措施违反其中1－2项且经责令改正后能在限期内改正的。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处罚标准：处2万元以上4万元以下的罚款。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2.一般违法行为的表现情形：未按照规定采取扬尘防治措施违反其中3－4项且经责令改正后能在限期内改正的。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处罚标准：处4万元以上7万元以下的罚款。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3.严重违法行为的表现情形：未按照规定采取扬尘防治措施违反其中5项及以上；拒不改正；或造成严重危害后果的。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处罚标准：处7万元以上10万元以下的罚款；拒不改正的，责令停工整治，依法作出处罚决定的部门可以自责令改正之日的次日起，按照原处罚数额按日连续处罚。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注：无项的条款按照一项处理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pacing w:val="0"/>
          <w:kern w:val="0"/>
          <w:sz w:val="32"/>
          <w:szCs w:val="32"/>
          <w:u w:val="none"/>
          <w:shd w:val="clear"/>
          <w:vertAlign w:val="baseline"/>
          <w:lang w:val="en-US" w:eastAsia="zh-CN" w:bidi="ar-SA"/>
        </w:rPr>
      </w:pPr>
      <w:r>
        <w:rPr>
          <w:rFonts w:hint="eastAsia" w:ascii="黑体" w:hAnsi="黑体" w:eastAsia="黑体" w:cs="黑体"/>
          <w:b w:val="0"/>
          <w:bCs w:val="0"/>
          <w:color w:val="auto"/>
          <w:spacing w:val="0"/>
          <w:kern w:val="0"/>
          <w:sz w:val="32"/>
          <w:szCs w:val="32"/>
          <w:u w:val="none"/>
          <w:shd w:val="clear"/>
          <w:vertAlign w:val="baseline"/>
          <w:lang w:val="en-US" w:eastAsia="zh-CN" w:bidi="ar-SA"/>
        </w:rPr>
        <w:t>二、《平顶山市建设工地扬尘污染防治条例》第二十二条的行政处罚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黑体" w:hAnsi="黑体" w:eastAsia="黑体" w:cs="黑体"/>
          <w:b w:val="0"/>
          <w:bCs w:val="0"/>
          <w:color w:val="auto"/>
          <w:spacing w:val="0"/>
          <w:kern w:val="0"/>
          <w:sz w:val="32"/>
          <w:szCs w:val="32"/>
          <w:u w:val="none"/>
          <w:shd w:val="clear"/>
          <w:vertAlign w:val="baseline"/>
          <w:lang w:val="en-US" w:eastAsia="zh-CN" w:bidi="ar-SA"/>
        </w:rPr>
        <w:t>处罚依据:</w:t>
      </w:r>
      <w:r>
        <w:rPr>
          <w:rFonts w:hint="eastAsia" w:ascii="仿宋" w:hAnsi="仿宋" w:eastAsia="仿宋" w:cs="仿宋"/>
          <w:b w:val="0"/>
          <w:bCs w:val="0"/>
          <w:color w:val="auto"/>
          <w:spacing w:val="0"/>
          <w:kern w:val="0"/>
          <w:sz w:val="32"/>
          <w:szCs w:val="32"/>
          <w:u w:val="none"/>
          <w:shd w:val="clear"/>
          <w:vertAlign w:val="baseline"/>
          <w:lang w:val="en-US" w:eastAsia="zh-CN" w:bidi="ar-SA"/>
        </w:rPr>
        <w:t xml:space="preserve">《平顶山市建设工地扬尘污染防治条例》第二十二条“违反本条例第十九条第二款规定，以拒绝进入现场等方式拒不接受监督检查，或者在接受监督检查时弄虚作假的，由生态环境主管部门或者其他负有扬尘污染防治监督管理职责的部门责令改正，处以二万元以上二十万元以下罚款；构成违反治安管理行为的，由公安机关依法予以处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第十九条第二款“被检查的单位或者个人应当配合检查工作，如实反映情况、提供相关资料，不得拒绝或者阻挠执法人员的监督检查。”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黑体" w:hAnsi="黑体" w:eastAsia="黑体" w:cs="黑体"/>
          <w:b w:val="0"/>
          <w:bCs w:val="0"/>
          <w:color w:val="auto"/>
          <w:spacing w:val="0"/>
          <w:kern w:val="0"/>
          <w:sz w:val="32"/>
          <w:szCs w:val="32"/>
          <w:u w:val="none"/>
          <w:shd w:val="clear"/>
          <w:vertAlign w:val="baseline"/>
          <w:lang w:val="en-US" w:eastAsia="zh-CN" w:bidi="ar-SA"/>
        </w:rPr>
        <w:t>违法行为情形和处罚标准：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1.以拒绝进入现场等方式拒不接受生态环境主管部门或者其他负有扬尘污染防治监督管理职责的部门的监督检查的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（1）轻微违法行为的表现情形：经责令改正后能立即改正且没有造成危害后果的。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处罚标准：处二万元以上八万元以下的罚款。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（2）一般违法行为的表现情形：造成一定危害后果的。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处罚标准：处八万元以上十五万元以下的罚款。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（3）严重违法行为的表现情形：拒不配合或造成严重危害后果的。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处罚标准：处十五万元以上二十万元以下的罚款。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2.在接受监督检查时弄虚作假的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（1）轻微违法行为的表现情形：经责令改正后能在限期内改正且没有造成危害后果的。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处罚标准：处二万元以上八万元以下的罚款。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（2）一般违法行为的表现情形：经责令改正后能在限期内改正但造成一定危害后果的。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处罚标准：处八万元以上十五万元以下的罚款。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（3）严重违法行为的表现情形：拒不改正或造成严重危害后果的。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处罚标准：处十五万元以上二十万元以下的罚款。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pacing w:val="0"/>
          <w:kern w:val="0"/>
          <w:sz w:val="32"/>
          <w:szCs w:val="32"/>
          <w:u w:val="none"/>
          <w:shd w:val="clear"/>
          <w:vertAlign w:val="baseline"/>
          <w:lang w:val="en-US" w:eastAsia="zh-CN" w:bidi="ar-SA"/>
        </w:rPr>
      </w:pPr>
      <w:r>
        <w:rPr>
          <w:rFonts w:hint="eastAsia" w:ascii="黑体" w:hAnsi="黑体" w:eastAsia="黑体" w:cs="黑体"/>
          <w:b w:val="0"/>
          <w:bCs w:val="0"/>
          <w:color w:val="auto"/>
          <w:spacing w:val="0"/>
          <w:kern w:val="0"/>
          <w:sz w:val="32"/>
          <w:szCs w:val="32"/>
          <w:u w:val="none"/>
          <w:shd w:val="clear"/>
          <w:vertAlign w:val="baseline"/>
          <w:lang w:val="en-US" w:eastAsia="zh-CN" w:bidi="ar-SA"/>
        </w:rPr>
        <w:t>三、《平顶山市建设工地扬尘污染防治条例》第二十三条的行政处罚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黑体" w:hAnsi="黑体" w:eastAsia="黑体" w:cs="黑体"/>
          <w:b w:val="0"/>
          <w:bCs w:val="0"/>
          <w:color w:val="auto"/>
          <w:spacing w:val="0"/>
          <w:kern w:val="0"/>
          <w:sz w:val="32"/>
          <w:szCs w:val="32"/>
          <w:u w:val="none"/>
          <w:shd w:val="clear"/>
          <w:vertAlign w:val="baseline"/>
          <w:lang w:val="en-US" w:eastAsia="zh-CN" w:bidi="ar-SA"/>
        </w:rPr>
        <w:t>处罚依据：</w:t>
      </w:r>
      <w:r>
        <w:rPr>
          <w:rFonts w:hint="eastAsia" w:ascii="仿宋" w:hAnsi="仿宋" w:eastAsia="仿宋" w:cs="仿宋"/>
          <w:b w:val="0"/>
          <w:bCs w:val="0"/>
          <w:color w:val="auto"/>
          <w:spacing w:val="0"/>
          <w:kern w:val="0"/>
          <w:sz w:val="32"/>
          <w:szCs w:val="32"/>
          <w:u w:val="none"/>
          <w:shd w:val="clear"/>
          <w:vertAlign w:val="baseline"/>
          <w:lang w:val="en-US" w:eastAsia="zh-CN" w:bidi="ar-SA"/>
        </w:rPr>
        <w:t xml:space="preserve">《平顶山市建设工地扬尘污染防治条例》第二十三条“违反本条例第二十条第一款规定，拒不执行停止土石方作业、建筑物、构筑物拆除施工等应急措施的，由住房城乡建设、城市管理、交通运输、水利等负有扬尘污染防治监督管理职责的部门处以一万元以上十万元以下罚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第二十条第一款“市、县（市）、石龙区人民政府依据重污染天气的预警等级，及时启动应急预案，根据应急预案可以采取责令有关施工单位停止土石方作业、建筑物、构筑物拆除施工等应急措施，被责令施工单位应当立即执行有关应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pacing w:val="0"/>
          <w:kern w:val="0"/>
          <w:sz w:val="32"/>
          <w:szCs w:val="32"/>
          <w:u w:val="none"/>
          <w:shd w:val="clear"/>
          <w:vertAlign w:val="baseline"/>
          <w:lang w:val="en-US" w:eastAsia="zh-CN" w:bidi="ar-SA"/>
        </w:rPr>
      </w:pPr>
      <w:r>
        <w:rPr>
          <w:rFonts w:hint="eastAsia" w:ascii="黑体" w:hAnsi="黑体" w:eastAsia="黑体" w:cs="黑体"/>
          <w:b w:val="0"/>
          <w:bCs w:val="0"/>
          <w:color w:val="auto"/>
          <w:spacing w:val="0"/>
          <w:kern w:val="0"/>
          <w:sz w:val="32"/>
          <w:szCs w:val="32"/>
          <w:u w:val="none"/>
          <w:shd w:val="clear"/>
          <w:vertAlign w:val="baseline"/>
          <w:lang w:val="en-US" w:eastAsia="zh-CN" w:bidi="ar-SA"/>
        </w:rPr>
        <w:t>违法行为情形和处罚标准：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1．轻微违法行为的表现情形：当年度内首次被发现，经制止后能立即停止的。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处罚标准：处1万元以上4万元以下的罚款。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2．一般违法行为的表现情形：当年度内非首次被发现经制止后能立即停止的。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处罚标准：处4万元以上7万元以下的罚款。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3．严重违法行为的表现情形：当年度内3次以上含3次发现经制止后仍拒不执行；或影响恶劣；或造成严重后果的。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处罚标准：处7万元以上10万元以下的罚款。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pacing w:val="0"/>
          <w:kern w:val="0"/>
          <w:sz w:val="32"/>
          <w:szCs w:val="32"/>
          <w:u w:val="none"/>
          <w:shd w:val="clear"/>
          <w:vertAlign w:val="baseline"/>
          <w:lang w:val="en-US" w:eastAsia="zh-CN" w:bidi="ar-SA"/>
        </w:rPr>
      </w:pPr>
      <w:r>
        <w:rPr>
          <w:rFonts w:hint="eastAsia" w:ascii="仿宋" w:hAnsi="仿宋" w:eastAsia="仿宋" w:cs="仿宋"/>
          <w:b w:val="0"/>
          <w:bCs w:val="0"/>
          <w:color w:val="auto"/>
          <w:spacing w:val="0"/>
          <w:kern w:val="0"/>
          <w:sz w:val="32"/>
          <w:szCs w:val="32"/>
          <w:u w:val="none"/>
          <w:shd w:val="clear"/>
          <w:vertAlign w:val="baseline"/>
          <w:lang w:val="en-US" w:eastAsia="zh-CN" w:bidi="ar-SA"/>
        </w:rPr>
        <w:t>注：本裁量标准的处罚标准中，“轻微”和“一般”“以下”不含本数，其他均含本数。</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 w:cs="Times New Roman"/>
                              <w:sz w:val="24"/>
                              <w:szCs w:val="40"/>
                              <w:lang w:eastAsia="zh-CN"/>
                            </w:rPr>
                          </w:pPr>
                          <w:r>
                            <w:rPr>
                              <w:rFonts w:hint="default" w:ascii="Times New Roman" w:hAnsi="Times New Roman" w:eastAsia="仿宋" w:cs="Times New Roman"/>
                              <w:sz w:val="24"/>
                              <w:szCs w:val="40"/>
                              <w:lang w:eastAsia="zh-CN"/>
                            </w:rPr>
                            <w:fldChar w:fldCharType="begin"/>
                          </w:r>
                          <w:r>
                            <w:rPr>
                              <w:rFonts w:hint="default" w:ascii="Times New Roman" w:hAnsi="Times New Roman" w:eastAsia="仿宋" w:cs="Times New Roman"/>
                              <w:sz w:val="24"/>
                              <w:szCs w:val="40"/>
                              <w:lang w:eastAsia="zh-CN"/>
                            </w:rPr>
                            <w:instrText xml:space="preserve"> PAGE  \* MERGEFORMAT </w:instrText>
                          </w:r>
                          <w:r>
                            <w:rPr>
                              <w:rFonts w:hint="default" w:ascii="Times New Roman" w:hAnsi="Times New Roman" w:eastAsia="仿宋" w:cs="Times New Roman"/>
                              <w:sz w:val="24"/>
                              <w:szCs w:val="40"/>
                              <w:lang w:eastAsia="zh-CN"/>
                            </w:rPr>
                            <w:fldChar w:fldCharType="separate"/>
                          </w:r>
                          <w:r>
                            <w:rPr>
                              <w:rFonts w:hint="default" w:ascii="Times New Roman" w:hAnsi="Times New Roman" w:eastAsia="仿宋" w:cs="Times New Roman"/>
                              <w:sz w:val="24"/>
                              <w:szCs w:val="40"/>
                              <w:lang w:eastAsia="zh-CN"/>
                            </w:rPr>
                            <w:t>1</w:t>
                          </w:r>
                          <w:r>
                            <w:rPr>
                              <w:rFonts w:hint="default" w:ascii="Times New Roman" w:hAnsi="Times New Roman" w:eastAsia="仿宋" w:cs="Times New Roman"/>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ascii="Times New Roman" w:hAnsi="Times New Roman" w:eastAsia="仿宋" w:cs="Times New Roman"/>
                        <w:sz w:val="24"/>
                        <w:szCs w:val="40"/>
                        <w:lang w:eastAsia="zh-CN"/>
                      </w:rPr>
                    </w:pPr>
                    <w:r>
                      <w:rPr>
                        <w:rFonts w:hint="default" w:ascii="Times New Roman" w:hAnsi="Times New Roman" w:eastAsia="仿宋" w:cs="Times New Roman"/>
                        <w:sz w:val="24"/>
                        <w:szCs w:val="40"/>
                        <w:lang w:eastAsia="zh-CN"/>
                      </w:rPr>
                      <w:fldChar w:fldCharType="begin"/>
                    </w:r>
                    <w:r>
                      <w:rPr>
                        <w:rFonts w:hint="default" w:ascii="Times New Roman" w:hAnsi="Times New Roman" w:eastAsia="仿宋" w:cs="Times New Roman"/>
                        <w:sz w:val="24"/>
                        <w:szCs w:val="40"/>
                        <w:lang w:eastAsia="zh-CN"/>
                      </w:rPr>
                      <w:instrText xml:space="preserve"> PAGE  \* MERGEFORMAT </w:instrText>
                    </w:r>
                    <w:r>
                      <w:rPr>
                        <w:rFonts w:hint="default" w:ascii="Times New Roman" w:hAnsi="Times New Roman" w:eastAsia="仿宋" w:cs="Times New Roman"/>
                        <w:sz w:val="24"/>
                        <w:szCs w:val="40"/>
                        <w:lang w:eastAsia="zh-CN"/>
                      </w:rPr>
                      <w:fldChar w:fldCharType="separate"/>
                    </w:r>
                    <w:r>
                      <w:rPr>
                        <w:rFonts w:hint="default" w:ascii="Times New Roman" w:hAnsi="Times New Roman" w:eastAsia="仿宋" w:cs="Times New Roman"/>
                        <w:sz w:val="24"/>
                        <w:szCs w:val="40"/>
                        <w:lang w:eastAsia="zh-CN"/>
                      </w:rPr>
                      <w:t>1</w:t>
                    </w:r>
                    <w:r>
                      <w:rPr>
                        <w:rFonts w:hint="default" w:ascii="Times New Roman" w:hAnsi="Times New Roman" w:eastAsia="仿宋" w:cs="Times New Roman"/>
                        <w:sz w:val="24"/>
                        <w:szCs w:val="4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119AF"/>
    <w:rsid w:val="04100387"/>
    <w:rsid w:val="083C12D4"/>
    <w:rsid w:val="0BB900A0"/>
    <w:rsid w:val="0E4A749E"/>
    <w:rsid w:val="12EB57C3"/>
    <w:rsid w:val="16802235"/>
    <w:rsid w:val="1D3F4EBF"/>
    <w:rsid w:val="211E2E18"/>
    <w:rsid w:val="3F356853"/>
    <w:rsid w:val="4462295B"/>
    <w:rsid w:val="4DD119AF"/>
    <w:rsid w:val="4F102C72"/>
    <w:rsid w:val="51D24E69"/>
    <w:rsid w:val="56EB19C0"/>
    <w:rsid w:val="5D4414F7"/>
    <w:rsid w:val="5ED95404"/>
    <w:rsid w:val="654538BF"/>
    <w:rsid w:val="65FB503D"/>
    <w:rsid w:val="67AC0967"/>
    <w:rsid w:val="6A1469D9"/>
    <w:rsid w:val="6C294920"/>
    <w:rsid w:val="71BD6F5B"/>
    <w:rsid w:val="7FC16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2020-11-10T09:08:00Z</dcterms:created>
  <dc:creator>小鱼</dc:creator>
  <cp:lastModifiedBy>lenovo</cp:lastModifiedBy>
  <cp:lastPrinted>2020-11-24T06:43:00Z</cp:lastPrinted>
  <dcterms:modified xsi:type="dcterms:W3CDTF">2020-12-24T06:42:22Z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